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66" w:rsidRDefault="000405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0566" w:rsidRDefault="00040566">
      <w:pPr>
        <w:pStyle w:val="ConsPlusNormal"/>
        <w:ind w:firstLine="540"/>
        <w:jc w:val="both"/>
        <w:outlineLvl w:val="0"/>
      </w:pPr>
    </w:p>
    <w:p w:rsidR="00040566" w:rsidRDefault="0004056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40566" w:rsidRDefault="00040566">
      <w:pPr>
        <w:pStyle w:val="ConsPlusTitle"/>
        <w:jc w:val="center"/>
      </w:pPr>
    </w:p>
    <w:p w:rsidR="00040566" w:rsidRDefault="00040566">
      <w:pPr>
        <w:pStyle w:val="ConsPlusTitle"/>
        <w:jc w:val="center"/>
      </w:pPr>
      <w:r>
        <w:t>РАСПОРЯЖЕНИЕ</w:t>
      </w:r>
    </w:p>
    <w:p w:rsidR="00040566" w:rsidRDefault="00040566">
      <w:pPr>
        <w:pStyle w:val="ConsPlusTitle"/>
        <w:jc w:val="center"/>
      </w:pPr>
      <w:r>
        <w:t>от 17 апреля 2019 г. N 768-р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развития конкуренции в субъектах Российской Федерации (далее - стандарт).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2. Рекомендовать: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субъектам естественных монополий руководствоваться положениями </w:t>
      </w:r>
      <w:hyperlink w:anchor="P32" w:history="1">
        <w:r>
          <w:rPr>
            <w:color w:val="0000FF"/>
          </w:rPr>
          <w:t>стандарта</w:t>
        </w:r>
      </w:hyperlink>
      <w:r>
        <w:t xml:space="preserve"> в рамках раскрытия информации о своей деятельности.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>
          <w:rPr>
            <w:color w:val="0000FF"/>
          </w:rPr>
          <w:t>стандарту</w:t>
        </w:r>
      </w:hyperlink>
      <w:r>
        <w:t>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4. Минэкономразвития России: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образовать межведомственную рабочую группу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представлять </w:t>
      </w:r>
      <w:proofErr w:type="gramStart"/>
      <w:r>
        <w:t>при необходимости в Правительство Российской Федерации в установленном порядке предложения по внесению изменений в стандарт</w:t>
      </w:r>
      <w:proofErr w:type="gramEnd"/>
      <w:r>
        <w:t xml:space="preserve">, одобренные межведомственной рабочей группой по вопросам реализации положений </w:t>
      </w:r>
      <w:hyperlink w:anchor="P32" w:history="1">
        <w:r>
          <w:rPr>
            <w:color w:val="0000FF"/>
          </w:rPr>
          <w:t>стандарта</w:t>
        </w:r>
      </w:hyperlink>
      <w:r>
        <w:t>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>
          <w:rPr>
            <w:color w:val="0000FF"/>
          </w:rPr>
          <w:t>стандарта</w:t>
        </w:r>
      </w:hyperlink>
      <w: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040566" w:rsidRDefault="00040566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040566" w:rsidRDefault="0004056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jc w:val="right"/>
      </w:pPr>
      <w:r>
        <w:t>Председатель Правительства</w:t>
      </w:r>
    </w:p>
    <w:p w:rsidR="00040566" w:rsidRDefault="00040566">
      <w:pPr>
        <w:pStyle w:val="ConsPlusNormal"/>
        <w:jc w:val="right"/>
      </w:pPr>
      <w:r>
        <w:t>Российской Федерации</w:t>
      </w:r>
    </w:p>
    <w:p w:rsidR="00040566" w:rsidRDefault="00040566">
      <w:pPr>
        <w:pStyle w:val="ConsPlusNormal"/>
        <w:jc w:val="right"/>
      </w:pPr>
      <w:r>
        <w:t>Д.МЕДВЕДЕВ</w:t>
      </w: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jc w:val="right"/>
        <w:outlineLvl w:val="0"/>
      </w:pPr>
      <w:r>
        <w:t>Утвержден</w:t>
      </w:r>
    </w:p>
    <w:p w:rsidR="00040566" w:rsidRDefault="00040566">
      <w:pPr>
        <w:pStyle w:val="ConsPlusNormal"/>
        <w:jc w:val="right"/>
      </w:pPr>
      <w:r>
        <w:t>распоряжением Правительства</w:t>
      </w:r>
    </w:p>
    <w:p w:rsidR="00040566" w:rsidRDefault="00040566">
      <w:pPr>
        <w:pStyle w:val="ConsPlusNormal"/>
        <w:jc w:val="right"/>
      </w:pPr>
      <w:r>
        <w:lastRenderedPageBreak/>
        <w:t>Российской Федерации</w:t>
      </w:r>
    </w:p>
    <w:p w:rsidR="00040566" w:rsidRDefault="00040566">
      <w:pPr>
        <w:pStyle w:val="ConsPlusNormal"/>
        <w:jc w:val="right"/>
      </w:pPr>
      <w:r>
        <w:t>от 17 апреля 2019 г. N 768-р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Title"/>
        <w:jc w:val="center"/>
      </w:pPr>
      <w:bookmarkStart w:id="0" w:name="P32"/>
      <w:bookmarkEnd w:id="0"/>
      <w:r>
        <w:t>СТАНДАРТ</w:t>
      </w:r>
    </w:p>
    <w:p w:rsidR="00040566" w:rsidRDefault="00040566">
      <w:pPr>
        <w:pStyle w:val="ConsPlusTitle"/>
        <w:jc w:val="center"/>
      </w:pPr>
      <w:r>
        <w:t>РАЗВИТИЯ КОНКУРЕНЦИИ В СУБЪЕКТАХ РОССИЙСКОЙ ФЕДЕРАЦИИ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Title"/>
        <w:jc w:val="center"/>
        <w:outlineLvl w:val="1"/>
      </w:pPr>
      <w:r>
        <w:t>I. Общие положения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Normal"/>
        <w:ind w:firstLine="540"/>
        <w:jc w:val="both"/>
      </w:pPr>
      <w: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 w:history="1">
        <w:r>
          <w:rPr>
            <w:color w:val="0000FF"/>
          </w:rPr>
          <w:t>пункта 7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"в" пункта 8</w:t>
        </w:r>
      </w:hyperlink>
      <w: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2. Целями стандарта являются: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б) содействие формированию прозрачной системы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е) повышение доступности финансовых услуг для субъектов экономической деятельности;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ж) преодоление и минимизация влияния несовершенной конкуренции на инфляцию;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3. Принципами внедрения стандарта являются: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 xml:space="preserve"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</w:t>
      </w:r>
      <w:r>
        <w:lastRenderedPageBreak/>
        <w:t>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>
        <w:t xml:space="preserve"> </w:t>
      </w:r>
      <w:proofErr w:type="gramStart"/>
      <w:r>
        <w:t>целом</w:t>
      </w:r>
      <w:proofErr w:type="gramEnd"/>
      <w:r>
        <w:t>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для результативной и эффективной реализации стандарта;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в) системный подход - совершенствование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>
        <w:t xml:space="preserve"> приоритетной программы по внедрению стандарта, утверждаемой высшим должностным лицом.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>
        <w:t xml:space="preserve"> положения о структурных подразделениях.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Для достижения целей стандарта и соблюдения принципов его внедрения, формирования </w:t>
      </w:r>
      <w:hyperlink w:anchor="P323" w:history="1">
        <w:r>
          <w:rPr>
            <w:color w:val="0000FF"/>
          </w:rPr>
          <w:t>перечня</w:t>
        </w:r>
      </w:hyperlink>
      <w: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>
        <w:t>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>
        <w:t xml:space="preserve"> власти субъекта Российской Федерации и органов местного самоуправления.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Title"/>
        <w:jc w:val="center"/>
        <w:outlineLvl w:val="1"/>
      </w:pPr>
      <w:r>
        <w:t>II. Определение уполномоченного органа</w:t>
      </w: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  <w:r>
        <w:t>9. Уполномоченный орган определяется из числа органов исполнительной власти субъекта Российской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10. Уполномоченный орган осуществляет следующие полномочия: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коллегиальным органом;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</w:t>
      </w:r>
      <w:r>
        <w:lastRenderedPageBreak/>
        <w:t>проектами;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в) обеспечивают единство целей и направлений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Title"/>
        <w:jc w:val="center"/>
        <w:outlineLvl w:val="1"/>
      </w:pPr>
      <w:r>
        <w:t>III. Рассмотрение вопросов содействия развитию конкуренции</w:t>
      </w:r>
    </w:p>
    <w:p w:rsidR="00040566" w:rsidRDefault="00040566">
      <w:pPr>
        <w:pStyle w:val="ConsPlusTitle"/>
        <w:jc w:val="center"/>
      </w:pPr>
      <w:r>
        <w:t>на заседаниях коллегиального органа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Normal"/>
        <w:ind w:firstLine="540"/>
        <w:jc w:val="both"/>
      </w:pPr>
      <w: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а) проект перечня товарных рынков с аргументированным обоснованием выбора каждого </w:t>
      </w:r>
      <w:r>
        <w:lastRenderedPageBreak/>
        <w:t>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результаты и анализ результатов мониторинга.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13. Коллегиальный орган рассматривает и утверждает доклад, а в случае необходимости представляет замечания, предложения и особые мнения членов коллегиального органа для включения их в доклад.</w:t>
      </w:r>
    </w:p>
    <w:p w:rsidR="00040566" w:rsidRDefault="00040566">
      <w:pPr>
        <w:pStyle w:val="ConsPlusNormal"/>
        <w:spacing w:before="220"/>
        <w:ind w:firstLine="540"/>
        <w:jc w:val="both"/>
      </w:pPr>
      <w:bookmarkStart w:id="1" w:name="P92"/>
      <w:bookmarkEnd w:id="1"/>
      <w: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в) представители общественных организаций, действующих в интересах предпринимателей и потребителей товаров, работ, услуг;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представители комиссии по проведению административной реформы в субъекте 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е) представители потребителей товаров, работ, услуг, задействованные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з) представители объединений, действующих в интересах сферы рыбного хозяйства (воспроизводство водных биологических ресурсов, аквакультура, марикультура, товарное рыбоводство, промышленное рыболовство, рыбопереработка и др.);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lastRenderedPageBreak/>
        <w:t>л) эксперты и специалисты иных направлений (конструкторы, инженеры, изобретатели, инноваторы, специалисты в области программного обеспечения, информационно-коммуникационных технологий, медицинских и биотехнологий, нанотехнологий, альтернативной энергетики и энергоэффективности,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м) представители общественных палат субъектов Российской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15. В случае необходимости в состав коллегиального органа помимо лиц, указанных в </w:t>
      </w:r>
      <w:hyperlink w:anchor="P92" w:history="1">
        <w:r>
          <w:rPr>
            <w:color w:val="0000FF"/>
          </w:rPr>
          <w:t>пункте 14</w:t>
        </w:r>
      </w:hyperlink>
      <w:r>
        <w:t xml:space="preserve"> стандарта, могут включаться иные участники (с учетом региональной специфики).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представителей территориальных органов федеральных органов исполнительной власти;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уполномоченного по защите прав предпринимателей в субъекте 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в) уполномоченного по правам человека в субъекте 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представителей территориальных учреждений Центрального банка Российской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17. Заседания коллегиального органа в очном формате целесообразно проводить не реже одного раза в квартал.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18.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Title"/>
        <w:jc w:val="center"/>
        <w:outlineLvl w:val="1"/>
      </w:pPr>
      <w:r>
        <w:t>IV. Утверждение перечня товарных рынков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Normal"/>
        <w:ind w:firstLine="540"/>
        <w:jc w:val="both"/>
      </w:pPr>
      <w: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>
          <w:rPr>
            <w:color w:val="0000FF"/>
          </w:rPr>
          <w:t>приложению</w:t>
        </w:r>
      </w:hyperlink>
      <w:r>
        <w:t>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</w:t>
      </w:r>
      <w:r>
        <w:lastRenderedPageBreak/>
        <w:t>субъектами Российской Федерации самостоятельно с учетом специфики социально-экономического развития.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23. Разработка перечня товарных рынков </w:t>
      </w:r>
      <w:proofErr w:type="gramStart"/>
      <w:r>
        <w:t>осуществляется</w:t>
      </w:r>
      <w:proofErr w:type="gramEnd"/>
      <w:r>
        <w:t xml:space="preserve"> в том числе на основе следующих данных: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инвестиционные приоритеты, определяемые субъектом Российской Федерации в установленном им порядке;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д) информация, содержащаяся в документах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Title"/>
        <w:jc w:val="center"/>
        <w:outlineLvl w:val="1"/>
      </w:pPr>
      <w:r>
        <w:t>V. Разработка "дорожной карты"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Normal"/>
        <w:ind w:firstLine="540"/>
        <w:jc w:val="both"/>
      </w:pPr>
      <w:r>
        <w:t>26. Утверждение "дорожной карты" осуществляется высшим должностным лицом.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27. "Дорожная карта" разрабатывается на основе анализа результатов мониторинга, лучших практик </w:t>
      </w:r>
      <w:proofErr w:type="gramStart"/>
      <w:r>
        <w:t>работы органов исполнительной власти субъектов Российской Федерации</w:t>
      </w:r>
      <w:proofErr w:type="gramEnd"/>
      <w:r>
        <w:t xml:space="preserve"> по внедрению стандарта, информации территориальных органов федеральных органов исполнительной власти, </w:t>
      </w:r>
      <w:r>
        <w:lastRenderedPageBreak/>
        <w:t>территориальных учреждений Центрального банка Российской Федерации и иных источников информации.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28. При разработке и реализации "дорожной карты", а также при внесении в нее изменений осуществляются: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определение процессов, необходимых для реализации требований по развитию конкуренции;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определение последовательности и взаимодействия этих процессов, а также их приоритетность;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в) определение критериев и методов, необходимых для обеспечения результативности и </w:t>
      </w:r>
      <w:proofErr w:type="gramStart"/>
      <w:r>
        <w:t>эффективности</w:t>
      </w:r>
      <w:proofErr w:type="gramEnd"/>
      <w:r>
        <w:t xml:space="preserve"> как при осуществлении этих процессов, так и при управлении ими;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обеспечение ресурсов и информации, необходимых для поддержания этих процессов и их мониторинга;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д) определение принципов и порядка </w:t>
      </w:r>
      <w:proofErr w:type="gramStart"/>
      <w:r>
        <w:t>взаимодействия органов исполнительной власти субъекта Российской Федерации</w:t>
      </w:r>
      <w:proofErr w:type="gramEnd"/>
      <w:r>
        <w:t xml:space="preserve"> с органами местного самоуправления;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е) мероприятия, необходимые для достижения запланированных результатов.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29. Органы местного самоуправления при наличии соглашения могут быть соисполнителями мероприятий "дорожной карты".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30. Наряду с мероприятиями, сформированными в целях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на развитие конкурентоспособности товаров, работ, услуг субъектов малого и среднего предпринимательства;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устранение случаев (снижение количества) осуществления закупки у единственного поставщика;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lastRenderedPageBreak/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прирост объема закупок у субъектов малого и среднего предпринимательства;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увеличение количества участников закупок из числа субъектов малого и среднего предпринимательства;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экономия средств заказчика за счет участия в закупках субъектов малого и среднего предпринимательства;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</w:t>
      </w:r>
      <w:hyperlink r:id="rId10" w:history="1">
        <w:r>
          <w:rPr>
            <w:color w:val="0000FF"/>
          </w:rPr>
          <w:t>статьям 15</w:t>
        </w:r>
      </w:hyperlink>
      <w:r>
        <w:t xml:space="preserve"> и </w:t>
      </w:r>
      <w:hyperlink r:id="rId11" w:history="1">
        <w:r>
          <w:rPr>
            <w:color w:val="0000FF"/>
          </w:rPr>
          <w:t>16</w:t>
        </w:r>
      </w:hyperlink>
      <w:r>
        <w:t xml:space="preserve"> Федерального закона "О защите конкуренции";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 w:history="1">
        <w:r>
          <w:rPr>
            <w:color w:val="0000FF"/>
          </w:rPr>
          <w:t>Об общих принципах организации</w:t>
        </w:r>
      </w:hyperlink>
      <w: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 w:history="1">
        <w:r>
          <w:rPr>
            <w:color w:val="0000FF"/>
          </w:rPr>
          <w:t>Об общих принципах организации местного самоуправления</w:t>
        </w:r>
      </w:hyperlink>
      <w:r>
        <w:t xml:space="preserve"> в Российской Федерации", пунктов, предусматривающих</w:t>
      </w:r>
      <w:proofErr w:type="gramEnd"/>
      <w: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д) на совершенствование процессов управления в рамках </w:t>
      </w:r>
      <w:proofErr w:type="gramStart"/>
      <w:r>
        <w:t>полномочий органов исполнительной власти субъектов Российской Федерации</w:t>
      </w:r>
      <w:proofErr w:type="gramEnd"/>
      <w:r>
        <w:t xml:space="preserve">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</w:r>
      <w:proofErr w:type="gramStart"/>
      <w:r>
        <w:t>содержатся</w:t>
      </w:r>
      <w:proofErr w:type="gramEnd"/>
      <w:r>
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</w:t>
      </w:r>
      <w:r>
        <w:lastRenderedPageBreak/>
        <w:t>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е) на создание условий для недискриминационного доступа хозяйствующих субъектов на товарные рынки;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з) на 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м) на повышение в субъекте Российской Федерации цифровой грамотности населения, </w:t>
      </w:r>
      <w:r>
        <w:lastRenderedPageBreak/>
        <w:t>государственных гражданских служащих и работников бюджетной сферы в рамках соответствующей региональной программы;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Ворлдскиллс Интернешнл (WorldSkills International),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(International Abilympic Federation);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</w:t>
      </w:r>
      <w:r>
        <w:lastRenderedPageBreak/>
        <w:t>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ц) на повышение доступности финансовых услуг для субъектов экономической деятельности;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>
        <w:t xml:space="preserve"> субъекта Российской Федерации и органами местного самоуправления.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31. "Дорожная карта" должна содержать следующую информацию: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в) результаты (цели) и ключевые показатели развития конкуренции (с указанием срока их достижения);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г) сведения </w:t>
      </w:r>
      <w:proofErr w:type="gramStart"/>
      <w:r>
        <w:t>о</w:t>
      </w:r>
      <w:proofErr w:type="gramEnd"/>
      <w: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32. Планируется, что мероприятия, предусмотренные "дорожной картой", затронут все сферы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при возможном взаимодействии по соисполнению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</w:t>
      </w:r>
      <w:r>
        <w:lastRenderedPageBreak/>
        <w:t>Российской Федерации. 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34. С учетом соглашения в "дорожную карту" могут включаться мероприятия в отношении муниципальных образований.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Title"/>
        <w:jc w:val="center"/>
        <w:outlineLvl w:val="1"/>
      </w:pPr>
      <w:r>
        <w:t>VI. Проведение мониторинга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Normal"/>
        <w:ind w:firstLine="540"/>
        <w:jc w:val="both"/>
      </w:pPr>
      <w:r>
        <w:t xml:space="preserve">38. </w:t>
      </w:r>
      <w:proofErr w:type="gramStart"/>
      <w: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>
        <w:t>.</w:t>
      </w:r>
    </w:p>
    <w:p w:rsidR="00040566" w:rsidRDefault="00040566">
      <w:pPr>
        <w:pStyle w:val="ConsPlusNormal"/>
        <w:spacing w:before="220"/>
        <w:ind w:firstLine="540"/>
        <w:jc w:val="both"/>
      </w:pPr>
      <w:bookmarkStart w:id="2" w:name="P204"/>
      <w:bookmarkEnd w:id="2"/>
      <w:r>
        <w:t>39. Мониторинг включает в себя: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сбор данных о продолжительности осуществления предпринимательской деятельности </w:t>
      </w:r>
      <w:r>
        <w:lastRenderedPageBreak/>
        <w:t>хозяйствующих субъектов, деятельность которых начата в период не ранее 5 и не позже 3 лет до начала сбора указанных данных;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выделение групп потребителей товаров, работ, услуг в соответствии с их социальным статусом (учащиеся, пенсионеры и др.);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формирование перечня товарных рынков, на которых присутствуют субъекты естественных монополий;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lastRenderedPageBreak/>
        <w:t>сбор и анализ данных об оказываемых ресурсоснабжающими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>
        <w:t xml:space="preserve">, </w:t>
      </w:r>
      <w:proofErr w:type="gramStart"/>
      <w: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самозанятый,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</w:t>
      </w:r>
      <w:r>
        <w:lastRenderedPageBreak/>
        <w:t>мониторинга финансовой доступности</w:t>
      </w:r>
      <w:proofErr w:type="gramEnd"/>
      <w:r>
        <w:t xml:space="preserve">, </w:t>
      </w:r>
      <w:proofErr w:type="gramStart"/>
      <w:r>
        <w:t>результаты</w:t>
      </w:r>
      <w:proofErr w:type="gramEnd"/>
      <w:r>
        <w:t xml:space="preserve"> которого ежегодно публикуются на официальном сайте в сети "Интернет";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 xml:space="preserve">з) мониторинг цен (с учетом динамики) на товары, входящие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>
        <w:t xml:space="preserve"> </w:t>
      </w:r>
      <w:proofErr w:type="gramStart"/>
      <w: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>
        <w:t xml:space="preserve"> и т.п.);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хабах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>
        <w:t xml:space="preserve"> в этом сегменте, включая наличие стабильной подвижной радиотелефонной связи на удаленных дорогах;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к) мониторинг развития передовых производственных технологий и их внедрения, а также процесса цифровизации экономики и формирования ее новых рынков и секторов.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40. При проведении мониторинга уполномоченный орган использует в том числе: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е) показатели, характеризующие состояние экономики и социальной сферы каждого муниципального образования;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ж)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040566" w:rsidRDefault="00040566">
      <w:pPr>
        <w:pStyle w:val="ConsPlusNormal"/>
        <w:spacing w:before="220"/>
        <w:ind w:firstLine="540"/>
        <w:jc w:val="both"/>
      </w:pPr>
      <w:bookmarkStart w:id="3" w:name="P246"/>
      <w:bookmarkEnd w:id="3"/>
      <w: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данные по ожидаемому потребителями темпу роста цен;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>
          <w:rPr>
            <w:color w:val="0000FF"/>
          </w:rPr>
          <w:t>пункте 41</w:t>
        </w:r>
      </w:hyperlink>
      <w:r>
        <w:t xml:space="preserve"> стандарта информацию.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</w:t>
      </w:r>
      <w:r>
        <w:lastRenderedPageBreak/>
        <w:t xml:space="preserve">продвижению новых проектов" утверждает единую </w:t>
      </w:r>
      <w:hyperlink r:id="rId16" w:history="1">
        <w:r>
          <w:rPr>
            <w:color w:val="0000FF"/>
          </w:rPr>
          <w:t>методику</w:t>
        </w:r>
      </w:hyperlink>
      <w:r>
        <w:t xml:space="preserve"> мониторинга.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>
          <w:rPr>
            <w:color w:val="0000FF"/>
          </w:rPr>
          <w:t>пунктами 39</w:t>
        </w:r>
      </w:hyperlink>
      <w:r>
        <w:t xml:space="preserve"> - </w:t>
      </w:r>
      <w:hyperlink w:anchor="P246" w:history="1">
        <w:r>
          <w:rPr>
            <w:color w:val="0000FF"/>
          </w:rPr>
          <w:t>41</w:t>
        </w:r>
      </w:hyperlink>
      <w:r>
        <w:t xml:space="preserve"> стандарта, а также установить критерии: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оценки состояния конкуренции субъектами предпринимательской деятельности;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иные критерии.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44. </w:t>
      </w:r>
      <w:proofErr w:type="gramStart"/>
      <w:r>
        <w:t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46. По результатам мониторинга уполномоченный орган подготавливает проект доклада, содержащий в том числе: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а) характеристику состояния конкуренции на товарных рынках, включенных в </w:t>
      </w:r>
      <w:hyperlink w:anchor="P323" w:history="1">
        <w:r>
          <w:rPr>
            <w:color w:val="0000FF"/>
          </w:rPr>
          <w:t>перечень</w:t>
        </w:r>
      </w:hyperlink>
      <w:r>
        <w:t xml:space="preserve"> товарных рынков, а также анализ факторов, ограничивающих конкуренцию;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в) информацию о результатах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г) анализ результативности и эффективности </w:t>
      </w:r>
      <w:proofErr w:type="gramStart"/>
      <w:r>
        <w:t>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 xml:space="preserve"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</w:t>
      </w:r>
      <w:r>
        <w:lastRenderedPageBreak/>
        <w:t>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доли достигнутых показателей в общем количестве показателей;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средней суммы фактических значений достижения показателей (процентов плана);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доли показателей, по которым приняты корректирующие решения, в общем количестве показателей региональной приоритетной программы по внедрению стандарта;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доли выполненных мероприятий в общем количестве мероприятий, по которым приняты корректирующие решения;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доли показателей, достигнутых в запланированные сроки, в общем количестве показателей в соответствии с ключевыми этапами и контрольными точками.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49. </w:t>
      </w:r>
      <w:proofErr w:type="gramStart"/>
      <w: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>
        <w:t xml:space="preserve"> Российской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Title"/>
        <w:jc w:val="center"/>
        <w:outlineLvl w:val="1"/>
      </w:pPr>
      <w:r>
        <w:t xml:space="preserve">VII. Создание и реализация механизмов </w:t>
      </w:r>
      <w:proofErr w:type="gramStart"/>
      <w:r>
        <w:t>общественного</w:t>
      </w:r>
      <w:proofErr w:type="gramEnd"/>
    </w:p>
    <w:p w:rsidR="00040566" w:rsidRDefault="00040566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</w:t>
      </w: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  <w:r>
        <w:t xml:space="preserve">51. </w:t>
      </w:r>
      <w:proofErr w:type="gramStart"/>
      <w: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</w:t>
      </w:r>
      <w:r>
        <w:lastRenderedPageBreak/>
        <w:t xml:space="preserve">естественных монополий в соответствии с </w:t>
      </w:r>
      <w:hyperlink r:id="rId17" w:history="1">
        <w:r>
          <w:rPr>
            <w:color w:val="0000FF"/>
          </w:rPr>
          <w:t>Концепцией</w:t>
        </w:r>
      </w:hyperlink>
      <w: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>
        <w:t xml:space="preserve"> монополий и крупных инвестиционных проектов с государственным участием, проведение которого целесообразно осуществлять в отношении объектов сметной стоимостью от 1 млрд. рублей.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Также могут быть учтены мнения представителей потребителей товаров, работ, услуг, задействованных в механизмах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>
        <w:t>контроль за</w:t>
      </w:r>
      <w:proofErr w:type="gramEnd"/>
      <w: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>
        <w:t>контроль за</w:t>
      </w:r>
      <w:proofErr w:type="gramEnd"/>
      <w: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040566" w:rsidRDefault="00040566">
      <w:pPr>
        <w:pStyle w:val="ConsPlusNormal"/>
        <w:spacing w:before="220"/>
        <w:ind w:firstLine="540"/>
        <w:jc w:val="both"/>
      </w:pPr>
      <w:bookmarkStart w:id="4" w:name="P289"/>
      <w:bookmarkEnd w:id="4"/>
      <w:r>
        <w:t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Федерации, в том числе: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 xml:space="preserve"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</w:t>
      </w:r>
      <w:r>
        <w:lastRenderedPageBreak/>
        <w:t>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>
        <w:t xml:space="preserve"> в осуществлении общественного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>
        <w:t xml:space="preserve"> и независимых экспертов;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54. </w:t>
      </w:r>
      <w:proofErr w:type="gramStart"/>
      <w:r>
        <w:t xml:space="preserve">Раскрытие информации, указанной в </w:t>
      </w:r>
      <w:hyperlink w:anchor="P289" w:history="1">
        <w:r>
          <w:rPr>
            <w:color w:val="0000FF"/>
          </w:rPr>
          <w:t>пункте 53</w:t>
        </w:r>
      </w:hyperlink>
      <w: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>
        <w:t xml:space="preserve">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кВ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>
        <w:t xml:space="preserve"> ее строительства, реконструкции);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</w:t>
      </w:r>
      <w:r>
        <w:lastRenderedPageBreak/>
        <w:t>водоснабжения и водоотведения, оказываемых в электронном виде субъектами естественных монополий и ресурсоснабжающими организациями физическим и юридическим лицам.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Title"/>
        <w:jc w:val="center"/>
        <w:outlineLvl w:val="1"/>
      </w:pPr>
      <w:r>
        <w:t>VIII. Повышение уровня информированности субъектов</w:t>
      </w:r>
    </w:p>
    <w:p w:rsidR="00040566" w:rsidRDefault="00040566">
      <w:pPr>
        <w:pStyle w:val="ConsPlusTitle"/>
        <w:jc w:val="center"/>
      </w:pPr>
      <w:r>
        <w:t>предпринимательской деятельности и потребителей товаров,</w:t>
      </w:r>
    </w:p>
    <w:p w:rsidR="00040566" w:rsidRDefault="00040566">
      <w:pPr>
        <w:pStyle w:val="ConsPlusTitle"/>
        <w:jc w:val="center"/>
      </w:pPr>
      <w:r>
        <w:t>работ, услуг о состоянии конкуренции и деятельности</w:t>
      </w:r>
    </w:p>
    <w:p w:rsidR="00040566" w:rsidRDefault="00040566">
      <w:pPr>
        <w:pStyle w:val="ConsPlusTitle"/>
        <w:jc w:val="center"/>
      </w:pPr>
      <w:r>
        <w:t>по содействию развитию конкуренции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Normal"/>
        <w:ind w:firstLine="540"/>
        <w:jc w:val="both"/>
      </w:pPr>
      <w: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разделе </w:t>
      </w:r>
      <w:proofErr w:type="gramStart"/>
      <w:r>
        <w:t>интернет-портала</w:t>
      </w:r>
      <w:proofErr w:type="gramEnd"/>
      <w:r>
        <w:t xml:space="preserve"> об инвестиционной деятельности в субъекте Российской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>
        <w:t>: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040566" w:rsidRDefault="00040566">
      <w:pPr>
        <w:pStyle w:val="ConsPlusNormal"/>
        <w:spacing w:before="220"/>
        <w:ind w:firstLine="540"/>
        <w:jc w:val="both"/>
      </w:pPr>
      <w:proofErr w:type="gramStart"/>
      <w: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040566" w:rsidRDefault="00040566">
      <w:pPr>
        <w:pStyle w:val="ConsPlusNormal"/>
        <w:spacing w:before="220"/>
        <w:ind w:firstLine="540"/>
        <w:jc w:val="both"/>
      </w:pPr>
      <w: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040566" w:rsidRDefault="00040566">
      <w:pPr>
        <w:pStyle w:val="ConsPlusNormal"/>
        <w:spacing w:before="220"/>
        <w:ind w:firstLine="540"/>
        <w:jc w:val="both"/>
      </w:pPr>
      <w:r>
        <w:t xml:space="preserve">59. В целях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исполнительной власти </w:t>
      </w:r>
      <w:r>
        <w:lastRenderedPageBreak/>
        <w:t>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ind w:firstLine="540"/>
        <w:jc w:val="both"/>
      </w:pPr>
    </w:p>
    <w:p w:rsidR="00040566" w:rsidRDefault="00040566">
      <w:pPr>
        <w:pStyle w:val="ConsPlusNormal"/>
        <w:jc w:val="right"/>
        <w:outlineLvl w:val="1"/>
      </w:pPr>
      <w:r>
        <w:t>Приложение</w:t>
      </w:r>
    </w:p>
    <w:p w:rsidR="00040566" w:rsidRDefault="00040566">
      <w:pPr>
        <w:pStyle w:val="ConsPlusNormal"/>
        <w:jc w:val="right"/>
      </w:pPr>
      <w:r>
        <w:t>к стандарту развития конкуренции</w:t>
      </w:r>
    </w:p>
    <w:p w:rsidR="00040566" w:rsidRDefault="00040566">
      <w:pPr>
        <w:pStyle w:val="ConsPlusNormal"/>
        <w:jc w:val="right"/>
      </w:pPr>
      <w:r>
        <w:t>в субъектах Российской Федерации</w:t>
      </w:r>
    </w:p>
    <w:p w:rsidR="00040566" w:rsidRDefault="00040566">
      <w:pPr>
        <w:pStyle w:val="ConsPlusNormal"/>
        <w:jc w:val="center"/>
      </w:pPr>
    </w:p>
    <w:p w:rsidR="00040566" w:rsidRDefault="00040566">
      <w:pPr>
        <w:pStyle w:val="ConsPlusTitle"/>
        <w:jc w:val="center"/>
      </w:pPr>
      <w:bookmarkStart w:id="5" w:name="P323"/>
      <w:bookmarkEnd w:id="5"/>
      <w:r>
        <w:t>ПЕРЕЧЕНЬ</w:t>
      </w:r>
    </w:p>
    <w:p w:rsidR="00040566" w:rsidRDefault="00040566">
      <w:pPr>
        <w:pStyle w:val="ConsPlusTitle"/>
        <w:jc w:val="center"/>
      </w:pPr>
      <w:r>
        <w:t>ТОВАРНЫХ РЫНКОВ ДЛЯ СОДЕЙСТВИЯ РАЗВИТИЮ КОНКУРЕНЦИИ</w:t>
      </w:r>
    </w:p>
    <w:p w:rsidR="00040566" w:rsidRDefault="00040566">
      <w:pPr>
        <w:pStyle w:val="ConsPlusTitle"/>
        <w:jc w:val="center"/>
      </w:pPr>
      <w:r>
        <w:t>В СУБЪЕКТЕ РОССИЙСКОЙ ФЕДЕРАЦИИ</w:t>
      </w:r>
    </w:p>
    <w:p w:rsidR="00040566" w:rsidRDefault="000405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535"/>
        <w:gridCol w:w="1870"/>
      </w:tblGrid>
      <w:tr w:rsidR="00040566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0566" w:rsidRDefault="00040566">
            <w:pPr>
              <w:pStyle w:val="ConsPlusNormal"/>
              <w:jc w:val="center"/>
            </w:pPr>
            <w:r>
              <w:t>Наименование товарного рынка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040566" w:rsidRDefault="00040566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040566" w:rsidRDefault="00040566">
            <w:pPr>
              <w:pStyle w:val="ConsPlusNormal"/>
              <w:jc w:val="center"/>
            </w:pPr>
            <w:r>
              <w:t>Минимальное значение ключевого показателя в 2022 году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1,6, но не менее 1 частной организации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услуг общего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1, но не менее 1 частной организации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услуг среднего профессионального образования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 xml:space="preserve">доля обучающихся в частных образовательных организациях, реализующих основные профессиональные образовательные программы - </w:t>
            </w:r>
            <w:r>
              <w:lastRenderedPageBreak/>
              <w:t>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lastRenderedPageBreak/>
              <w:t>5, но не менее 1 частной организации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5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60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 xml:space="preserve">Рынок ритуальных </w:t>
            </w:r>
            <w:r>
              <w:lastRenderedPageBreak/>
              <w:t>услуг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lastRenderedPageBreak/>
              <w:t xml:space="preserve">доля организаций частной формы </w:t>
            </w:r>
            <w:r>
              <w:lastRenderedPageBreak/>
              <w:t>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теплоснабжения (производство тепловой энергии)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услуг по сбору и транспортированию твердых коммунальных отходов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выполнения работ по благоустройству городской среды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поставки сжиженного газа в баллонах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50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70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оказания услуг по ремонту автотранспортных средств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40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/>
        </w:tc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98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 xml:space="preserve">Рынок жилищного строительства (за исключением Московского фонда реновации жилой застройки и индивидуального </w:t>
            </w:r>
            <w:r>
              <w:lastRenderedPageBreak/>
              <w:t>жилищного строительства)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lastRenderedPageBreak/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дорожной деятельности (за исключением проектирования)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архитектурно-строительного проектирования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кадастровых и землеустроительных работ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реализации сельскохозяйственной продукции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сельскохозяйственных потребительских кооперативов в общем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5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лабораторных исследований для выдачи ветеринарных сопроводительных документов,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племенного животноводства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семеноводства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20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вылова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переработки водных биоресурсов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 xml:space="preserve">Рынок </w:t>
            </w:r>
            <w:proofErr w:type="gramStart"/>
            <w:r>
              <w:t>товарной</w:t>
            </w:r>
            <w:proofErr w:type="gramEnd"/>
            <w:r>
              <w:t xml:space="preserve"> аквакультуры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80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нефтепродуктов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90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легкой промышленности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70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обработки древесины и производства изделий из дерева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70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производства кирпича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70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Рынок производства бетона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70</w:t>
            </w:r>
          </w:p>
        </w:tc>
      </w:tr>
      <w:tr w:rsidR="00040566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566" w:rsidRDefault="00040566">
            <w:pPr>
              <w:pStyle w:val="ConsPlusNormal"/>
            </w:pPr>
            <w:r>
              <w:t>Сфера наружной рекламы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566" w:rsidRDefault="00040566">
            <w:pPr>
              <w:pStyle w:val="ConsPlusNormal"/>
            </w:pPr>
            <w: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566" w:rsidRDefault="00040566">
            <w:pPr>
              <w:pStyle w:val="ConsPlusNormal"/>
              <w:jc w:val="center"/>
            </w:pPr>
            <w:r>
              <w:t>100</w:t>
            </w:r>
          </w:p>
        </w:tc>
      </w:tr>
    </w:tbl>
    <w:p w:rsidR="00040566" w:rsidRDefault="00040566">
      <w:pPr>
        <w:pStyle w:val="ConsPlusNormal"/>
        <w:jc w:val="both"/>
      </w:pPr>
    </w:p>
    <w:p w:rsidR="00040566" w:rsidRDefault="00040566">
      <w:pPr>
        <w:pStyle w:val="ConsPlusNormal"/>
        <w:jc w:val="both"/>
      </w:pPr>
    </w:p>
    <w:p w:rsidR="00040566" w:rsidRDefault="000405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89B" w:rsidRDefault="00E4089B">
      <w:bookmarkStart w:id="6" w:name="_GoBack"/>
      <w:bookmarkEnd w:id="6"/>
    </w:p>
    <w:sectPr w:rsidR="00E4089B" w:rsidSect="0030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66"/>
    <w:rsid w:val="00040566"/>
    <w:rsid w:val="00841C83"/>
    <w:rsid w:val="00E4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5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C9EDD742CD484B24DF6CD8AC8800F6DD107C26DFB3AE78492999F12BFE21A571A21242CA9240035CA9574198A9740B1848354D41507678Z4RFF" TargetMode="External"/><Relationship Id="rId13" Type="http://schemas.openxmlformats.org/officeDocument/2006/relationships/hyperlink" Target="consultantplus://offline/ref=FAC9EDD742CD484B24DF6CD8AC8800F6DC1D7E20D7B2AE78492999F12BFE21A563A24A4EC8965E0155BC0110DEZFRC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C9EDD742CD484B24DF6CD8AC8800F6DD187D29D5BDAE78492999F12BFE21A563A24A4EC8965E0155BC0110DEZFRCF" TargetMode="External"/><Relationship Id="rId12" Type="http://schemas.openxmlformats.org/officeDocument/2006/relationships/hyperlink" Target="consultantplus://offline/ref=FAC9EDD742CD484B24DF6CD8AC8800F6DC1D7E20D7B2AE78492999F12BFE21A563A24A4EC8965E0155BC0110DEZFRCF" TargetMode="External"/><Relationship Id="rId17" Type="http://schemas.openxmlformats.org/officeDocument/2006/relationships/hyperlink" Target="consultantplus://offline/ref=FAC9EDD742CD484B24DF6CD8AC8800F6DD187D23D1B2AE78492999F12BFE21A571A21242CA92400157A9574198A9740B1848354D41507678Z4R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C9EDD742CD484B24DF6CD8AC8800F6DC1C7E28D3BCAE78492999F12BFE21A571A21242CA9240005CA9574198A9740B1848354D41507678Z4R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C9EDD742CD484B24DF6CD8AC8800F6DD187D29DEB3AE78492999F12BFE21A563A24A4EC8965E0155BC0110DEZFRCF" TargetMode="External"/><Relationship Id="rId11" Type="http://schemas.openxmlformats.org/officeDocument/2006/relationships/hyperlink" Target="consultantplus://offline/ref=FAC9EDD742CD484B24DF6CD8AC8800F6DC1C7025D4B6AE78492999F12BFE21A571A21242CA92410557A9574198A9740B1848354D41507678Z4RF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C9EDD742CD484B24DF6CD8AC8800F6DE117C27DFB7AE78492999F12BFE21A571A21242CA9240015CA9574198A9740B1848354D41507678Z4RFF" TargetMode="External"/><Relationship Id="rId10" Type="http://schemas.openxmlformats.org/officeDocument/2006/relationships/hyperlink" Target="consultantplus://offline/ref=FAC9EDD742CD484B24DF6CD8AC8800F6DC1C7025D4B6AE78492999F12BFE21A571A21240CF904B5405E6561DDEF867081D48364C5DZ5R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C9EDD742CD484B24DF6CD8AC8800F6DD107C26DFB3AE78492999F12BFE21A571A21242CA92400456A9574198A9740B1848354D41507678Z4RFF" TargetMode="External"/><Relationship Id="rId14" Type="http://schemas.openxmlformats.org/officeDocument/2006/relationships/hyperlink" Target="consultantplus://offline/ref=FAC9EDD742CD484B24DF6CD8AC8800F6DD1F7128D6B6AE78492999F12BFE21A571A21242CA92400155A9574198A9740B1848354D41507678Z4R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12744</Words>
  <Characters>72645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2020-11-24T05:17:00Z</cp:lastPrinted>
  <dcterms:created xsi:type="dcterms:W3CDTF">2020-11-24T05:18:00Z</dcterms:created>
  <dcterms:modified xsi:type="dcterms:W3CDTF">2020-11-24T05:18:00Z</dcterms:modified>
</cp:coreProperties>
</file>